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70" w:lineRule="exact"/>
        <w:ind w:firstLine="5684"/>
        <w:textAlignment w:val="center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4355465</wp:posOffset>
            </wp:positionH>
            <wp:positionV relativeFrom="page">
              <wp:posOffset>342900</wp:posOffset>
            </wp:positionV>
            <wp:extent cx="368300" cy="4064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3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358265" cy="1708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885" cy="17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0" w:line="189" w:lineRule="auto"/>
        <w:ind w:left="5734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Jniversity</w:t>
      </w:r>
      <w:r>
        <w:rPr>
          <w:rFonts w:ascii="Times New Roman" w:hAnsi="Times New Roman" w:eastAsia="Times New Roman" w:cs="Times New Roman"/>
          <w:spacing w:val="3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of</w:t>
      </w:r>
      <w:r>
        <w:rPr>
          <w:rFonts w:ascii="Times New Roman" w:hAnsi="Times New Roman" w:eastAsia="Times New Roman" w:cs="Times New Roman"/>
          <w:spacing w:val="-3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Science</w:t>
      </w:r>
      <w:r>
        <w:rPr>
          <w:rFonts w:ascii="Times New Roman" w:hAnsi="Times New Roman" w:eastAsia="Times New Roman" w:cs="Times New Roman"/>
          <w:spacing w:val="4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and</w:t>
      </w:r>
      <w:r>
        <w:rPr>
          <w:rFonts w:ascii="Times New Roman" w:hAnsi="Times New Roman" w:eastAsia="Times New Roman" w:cs="Times New Roman"/>
          <w:spacing w:val="3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Technol</w:t>
      </w:r>
      <w:r>
        <w:rPr>
          <w:rFonts w:ascii="Times New Roman" w:hAnsi="Times New Roman" w:eastAsia="Times New Roman" w:cs="Times New Roman"/>
          <w:b/>
          <w:bCs/>
          <w:spacing w:val="-2"/>
          <w:sz w:val="11"/>
          <w:szCs w:val="11"/>
        </w:rPr>
        <w:t>ogy</w:t>
      </w:r>
      <w:r>
        <w:rPr>
          <w:rFonts w:ascii="Times New Roman" w:hAnsi="Times New Roman" w:eastAsia="Times New Roman" w:cs="Times New Roman"/>
          <w:spacing w:val="4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11"/>
          <w:szCs w:val="11"/>
        </w:rPr>
        <w:t>of</w:t>
      </w:r>
      <w:r>
        <w:rPr>
          <w:rFonts w:ascii="Times New Roman" w:hAnsi="Times New Roman" w:eastAsia="Times New Roman" w:cs="Times New Roman"/>
          <w:spacing w:val="-5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11"/>
          <w:szCs w:val="11"/>
        </w:rPr>
        <w:t>Cbin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60" w:line="220" w:lineRule="auto"/>
        <w:ind w:left="3031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16"/>
          <w:sz w:val="49"/>
          <w:szCs w:val="49"/>
        </w:rPr>
        <w:t>邀</w:t>
      </w:r>
      <w:r>
        <w:rPr>
          <w:rFonts w:ascii="宋体" w:hAnsi="宋体" w:eastAsia="宋体" w:cs="宋体"/>
          <w:spacing w:val="67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9"/>
          <w:szCs w:val="49"/>
        </w:rPr>
        <w:t>请</w:t>
      </w:r>
      <w:r>
        <w:rPr>
          <w:rFonts w:ascii="宋体" w:hAnsi="宋体" w:eastAsia="宋体" w:cs="宋体"/>
          <w:spacing w:val="103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9"/>
          <w:szCs w:val="49"/>
        </w:rPr>
        <w:t>函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222" w:lineRule="auto"/>
        <w:ind w:left="185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尊敬的安徽上市业协会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：</w:t>
      </w:r>
    </w:p>
    <w:p>
      <w:pPr>
        <w:spacing w:before="111" w:line="282" w:lineRule="auto"/>
        <w:ind w:right="250" w:firstLine="63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2022年底以来，安徽省积极推动合肥市科创金融改革试验区打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造成为科创金融合作示范区，促进金融、科技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和产业良性循环与互动，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推动我国多层次资本市场良性发展。2022年，全国私募证券投资基</w:t>
      </w:r>
      <w:r>
        <w:rPr>
          <w:rFonts w:hint="eastAsia" w:ascii="仿宋" w:hAnsi="仿宋" w:eastAsia="仿宋" w:cs="仿宋"/>
          <w:spacing w:val="9"/>
          <w:sz w:val="32"/>
          <w:szCs w:val="32"/>
        </w:rPr>
        <w:t>金总规模达到6.34万亿元，相比2021年增幅近100%,成长为资本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市场的重要力量。作为我国金融体系的重要一环，也是引导社会资本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赋能实体经济发展不可或缺的组成部分。</w:t>
      </w:r>
    </w:p>
    <w:p>
      <w:pPr>
        <w:spacing w:before="117" w:line="279" w:lineRule="auto"/>
        <w:ind w:right="341" w:firstLine="652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3"/>
          <w:sz w:val="32"/>
          <w:szCs w:val="32"/>
        </w:rPr>
        <w:t>2023年5月20日，中国科大国际金融研究院联合国信证券、中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信建设证券及“科大硅谷”联合主办“中国科学技术大学国际金融研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究院首届全国证券私募基金论坛",旨在推动证券私募基金业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规范健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康发展，向市场展示中国优秀私募基金管理人，加强私募基金行业内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的学习交流，促进社会资本良性流动。</w:t>
      </w:r>
    </w:p>
    <w:p>
      <w:pPr>
        <w:spacing w:before="121" w:line="301" w:lineRule="auto"/>
        <w:ind w:right="365" w:firstLine="592" w:firstLineChars="200"/>
        <w:jc w:val="both"/>
        <w:rPr>
          <w:rFonts w:hint="eastAsia" w:ascii="仿宋" w:hAnsi="仿宋" w:eastAsia="仿宋" w:cs="仿宋"/>
          <w:spacing w:val="-5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sz w:val="32"/>
          <w:szCs w:val="32"/>
        </w:rPr>
        <w:t>本活动汇集国内多家知名证券私募基金专家，数位业内资深科大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校友，深度契合安徽省打造多层次资本市场的发展规划，为省内各家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上市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公司提供成长借鉴。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特邀请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贵会会员参与本次活动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。</w:t>
      </w:r>
    </w:p>
    <w:p>
      <w:pPr>
        <w:spacing w:before="114" w:line="222" w:lineRule="auto"/>
        <w:ind w:firstLine="62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专此致函，盼予支持</w:t>
      </w:r>
    </w:p>
    <w:p>
      <w:pPr>
        <w:spacing w:before="88" w:line="224" w:lineRule="auto"/>
        <w:ind w:left="734"/>
        <w:jc w:val="both"/>
        <w:rPr>
          <w:rFonts w:hint="eastAsia" w:ascii="仿宋" w:hAnsi="仿宋" w:eastAsia="仿宋" w:cs="仿宋"/>
          <w:spacing w:val="-20"/>
          <w:sz w:val="32"/>
          <w:szCs w:val="32"/>
        </w:rPr>
      </w:pPr>
    </w:p>
    <w:p>
      <w:pPr>
        <w:spacing w:before="88" w:line="224" w:lineRule="auto"/>
        <w:ind w:left="734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联系人：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丰伟杰</w:t>
      </w:r>
      <w:r>
        <w:rPr>
          <w:rFonts w:hint="eastAsia" w:ascii="仿宋" w:hAnsi="仿宋" w:eastAsia="仿宋" w:cs="仿宋"/>
          <w:spacing w:val="13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中国科大国际金融研究院</w:t>
      </w:r>
      <w:r>
        <w:rPr>
          <w:rFonts w:hint="eastAsia" w:ascii="仿宋" w:hAnsi="仿宋" w:eastAsia="仿宋" w:cs="仿宋"/>
          <w:spacing w:val="49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1334929982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88" w:line="234" w:lineRule="auto"/>
        <w:ind w:left="6507" w:right="237" w:hanging="2289"/>
        <w:rPr>
          <w:rFonts w:ascii="仿宋" w:hAnsi="仿宋" w:eastAsia="仿宋" w:cs="仿宋"/>
          <w:sz w:val="27"/>
          <w:szCs w:val="27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-397510</wp:posOffset>
            </wp:positionV>
            <wp:extent cx="1511300" cy="1536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53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b/>
          <w:bCs/>
          <w:spacing w:val="-15"/>
          <w:sz w:val="27"/>
          <w:szCs w:val="27"/>
        </w:rPr>
        <w:t>中国科学技术大学国际金融研究院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7"/>
          <w:position w:val="4"/>
          <w:sz w:val="27"/>
          <w:szCs w:val="27"/>
        </w:rPr>
        <w:t>99</w:t>
      </w:r>
      <w:r>
        <w:rPr>
          <w:rFonts w:ascii="仿宋" w:hAnsi="仿宋" w:eastAsia="仿宋" w:cs="仿宋"/>
          <w:spacing w:val="-39"/>
          <w:position w:val="4"/>
          <w:sz w:val="27"/>
          <w:szCs w:val="27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7"/>
          <w:szCs w:val="27"/>
        </w:rPr>
        <w:t>年5月：4E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90" w:lineRule="exact"/>
        <w:ind w:left="6294"/>
      </w:pPr>
      <w:r>
        <w:rPr>
          <w:position w:val="-6"/>
        </w:rPr>
        <w:drawing>
          <wp:inline distT="0" distB="0" distL="0" distR="0">
            <wp:extent cx="869950" cy="1835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9979" cy="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" w:line="232" w:lineRule="auto"/>
        <w:ind w:left="7504"/>
        <w:rPr>
          <w:rFonts w:ascii="仿宋" w:hAnsi="仿宋" w:eastAsia="仿宋" w:cs="仿宋"/>
          <w:sz w:val="11"/>
          <w:szCs w:val="11"/>
        </w:rPr>
      </w:pPr>
      <w:r>
        <w:rPr>
          <w:rFonts w:ascii="仿宋" w:hAnsi="仿宋" w:eastAsia="仿宋" w:cs="仿宋"/>
          <w:sz w:val="11"/>
          <w:szCs w:val="11"/>
        </w:rPr>
        <w:t>塑</w:t>
      </w:r>
    </w:p>
    <w:p>
      <w:pPr>
        <w:sectPr>
          <w:pgSz w:w="11900" w:h="16840"/>
          <w:pgMar w:top="540" w:right="1785" w:bottom="0" w:left="1785" w:header="0" w:footer="0" w:gutter="0"/>
          <w:cols w:space="720" w:num="1"/>
        </w:sectPr>
      </w:pPr>
    </w:p>
    <w:p>
      <w:pPr>
        <w:spacing w:before="79" w:line="261" w:lineRule="exact"/>
        <w:ind w:firstLine="5905"/>
        <w:textAlignment w:val="center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4324350</wp:posOffset>
            </wp:positionH>
            <wp:positionV relativeFrom="page">
              <wp:posOffset>316865</wp:posOffset>
            </wp:positionV>
            <wp:extent cx="387350" cy="4064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346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402715" cy="165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3317" cy="16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0" w:line="189" w:lineRule="auto"/>
        <w:ind w:left="5974"/>
        <w:rPr>
          <w:rFonts w:ascii="Times New Roman" w:hAnsi="Times New Roman" w:eastAsia="Times New Roman" w:cs="Times New Roman"/>
          <w:sz w:val="11"/>
          <w:szCs w:val="11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Iniversliy</w:t>
      </w:r>
      <w:r>
        <w:rPr>
          <w:rFonts w:ascii="Times New Roman" w:hAnsi="Times New Roman" w:eastAsia="Times New Roman" w:cs="Times New Roman"/>
          <w:spacing w:val="22"/>
          <w:w w:val="103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of</w:t>
      </w:r>
      <w:r>
        <w:rPr>
          <w:rFonts w:ascii="Times New Roman" w:hAnsi="Times New Roman" w:eastAsia="Times New Roman" w:cs="Times New Roman"/>
          <w:spacing w:val="1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Science</w:t>
      </w:r>
      <w:r>
        <w:rPr>
          <w:rFonts w:ascii="Times New Roman" w:hAnsi="Times New Roman" w:eastAsia="Times New Roman" w:cs="Times New Roman"/>
          <w:spacing w:val="8"/>
          <w:w w:val="102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and</w:t>
      </w:r>
      <w:r>
        <w:rPr>
          <w:rFonts w:ascii="Times New Roman" w:hAnsi="Times New Roman" w:eastAsia="Times New Roman" w:cs="Times New Roman"/>
          <w:spacing w:val="7"/>
          <w:w w:val="101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Technology</w:t>
      </w:r>
      <w:r>
        <w:rPr>
          <w:rFonts w:ascii="Times New Roman" w:hAnsi="Times New Roman" w:eastAsia="Times New Roman" w:cs="Times New Roman"/>
          <w:spacing w:val="7"/>
          <w:w w:val="102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ot</w:t>
      </w:r>
      <w:r>
        <w:rPr>
          <w:rFonts w:ascii="Times New Roman" w:hAnsi="Times New Roman" w:eastAsia="Times New Roman" w:cs="Times New Roman"/>
          <w:spacing w:val="7"/>
          <w:w w:val="103"/>
          <w:sz w:val="11"/>
          <w:szCs w:val="1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11"/>
          <w:szCs w:val="11"/>
        </w:rPr>
        <w:t>Chin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21" w:line="301" w:lineRule="auto"/>
        <w:ind w:right="365" w:firstLine="596" w:firstLineChars="200"/>
        <w:jc w:val="both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附件1:“首届全国证券私募基金论坛”活动安排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21" w:line="301" w:lineRule="auto"/>
        <w:ind w:right="365" w:firstLine="596" w:firstLineChars="200"/>
        <w:jc w:val="both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具体时间： 2023年5月20日14:00 - 17:45</w:t>
      </w:r>
    </w:p>
    <w:p>
      <w:pPr>
        <w:spacing w:before="121" w:line="301" w:lineRule="auto"/>
        <w:ind w:right="365" w:firstLine="596" w:firstLineChars="200"/>
        <w:jc w:val="both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具 体 地 点 ：合肥市滨湖新区广西路1789号中科大国际金融研究院</w:t>
      </w:r>
      <w:bookmarkStart w:id="0" w:name="_GoBack"/>
      <w:bookmarkEnd w:id="0"/>
    </w:p>
    <w:p>
      <w:pPr>
        <w:spacing w:before="121" w:line="301" w:lineRule="auto"/>
        <w:ind w:right="365" w:firstLine="596" w:firstLineChars="200"/>
        <w:jc w:val="both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日程安排 ；</w:t>
      </w:r>
    </w:p>
    <w:p>
      <w:pPr>
        <w:spacing w:line="73" w:lineRule="exact"/>
      </w:pPr>
    </w:p>
    <w:tbl>
      <w:tblPr>
        <w:tblStyle w:val="4"/>
        <w:tblW w:w="85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2"/>
        <w:gridCol w:w="1888"/>
        <w:gridCol w:w="4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482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8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5月20日</w:t>
            </w:r>
          </w:p>
          <w:p>
            <w:pPr>
              <w:spacing w:before="147" w:line="218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国金院6号报告厅</w:t>
            </w:r>
          </w:p>
        </w:tc>
        <w:tc>
          <w:tcPr>
            <w:tcW w:w="1888" w:type="dxa"/>
            <w:vAlign w:val="top"/>
          </w:tcPr>
          <w:p>
            <w:pPr>
              <w:spacing w:before="159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14:00-14:30</w:t>
            </w:r>
          </w:p>
        </w:tc>
        <w:tc>
          <w:tcPr>
            <w:tcW w:w="4200" w:type="dxa"/>
            <w:vAlign w:val="top"/>
          </w:tcPr>
          <w:p>
            <w:pPr>
              <w:spacing w:before="104" w:line="220" w:lineRule="auto"/>
              <w:ind w:left="16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5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14:30-15:00</w:t>
            </w:r>
          </w:p>
        </w:tc>
        <w:tc>
          <w:tcPr>
            <w:tcW w:w="4200" w:type="dxa"/>
            <w:vAlign w:val="top"/>
          </w:tcPr>
          <w:p>
            <w:pPr>
              <w:spacing w:before="97" w:line="219" w:lineRule="auto"/>
              <w:ind w:left="6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当前宏观金融形势与政策前瞻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66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15:00-15:20</w:t>
            </w:r>
          </w:p>
        </w:tc>
        <w:tc>
          <w:tcPr>
            <w:tcW w:w="4200" w:type="dxa"/>
            <w:vAlign w:val="top"/>
          </w:tcPr>
          <w:p>
            <w:pPr>
              <w:spacing w:before="106" w:line="219" w:lineRule="auto"/>
              <w:ind w:left="1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颁发证书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67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15:20-15:40</w:t>
            </w:r>
          </w:p>
        </w:tc>
        <w:tc>
          <w:tcPr>
            <w:tcW w:w="4200" w:type="dxa"/>
            <w:vAlign w:val="top"/>
          </w:tcPr>
          <w:p>
            <w:pPr>
              <w:spacing w:before="107" w:line="219" w:lineRule="auto"/>
              <w:ind w:left="4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财富管理转型与金融科技发展展望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8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15:40-16:00</w:t>
            </w:r>
          </w:p>
        </w:tc>
        <w:tc>
          <w:tcPr>
            <w:tcW w:w="4200" w:type="dxa"/>
            <w:vAlign w:val="top"/>
          </w:tcPr>
          <w:p>
            <w:pPr>
              <w:spacing w:before="100" w:line="219" w:lineRule="auto"/>
              <w:ind w:left="6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可转债：可攻可守的投资品种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59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16:00-16:2C</w:t>
            </w:r>
          </w:p>
        </w:tc>
        <w:tc>
          <w:tcPr>
            <w:tcW w:w="4200" w:type="dxa"/>
            <w:vAlign w:val="top"/>
          </w:tcPr>
          <w:p>
            <w:pPr>
              <w:spacing w:before="95" w:line="214" w:lineRule="auto"/>
              <w:ind w:left="1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低波动Alpha的构建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70" w:line="184" w:lineRule="auto"/>
              <w:ind w:left="3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16:20-16:40</w:t>
            </w:r>
          </w:p>
        </w:tc>
        <w:tc>
          <w:tcPr>
            <w:tcW w:w="4200" w:type="dxa"/>
            <w:vAlign w:val="top"/>
          </w:tcPr>
          <w:p>
            <w:pPr>
              <w:spacing w:before="112" w:line="219" w:lineRule="auto"/>
              <w:ind w:left="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股票量化多头配置主题分享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69" w:line="184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16:40-17:00</w:t>
            </w:r>
          </w:p>
        </w:tc>
        <w:tc>
          <w:tcPr>
            <w:tcW w:w="4200" w:type="dxa"/>
            <w:vAlign w:val="top"/>
          </w:tcPr>
          <w:p>
            <w:pPr>
              <w:spacing w:before="111" w:line="219" w:lineRule="auto"/>
              <w:ind w:left="5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一、二级市场投资的挑战与机会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spacing w:before="160" w:line="184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17:00-17:45</w:t>
            </w:r>
          </w:p>
        </w:tc>
        <w:tc>
          <w:tcPr>
            <w:tcW w:w="4200" w:type="dxa"/>
            <w:vAlign w:val="top"/>
          </w:tcPr>
          <w:p>
            <w:pPr>
              <w:spacing w:before="104" w:line="219" w:lineRule="auto"/>
              <w:ind w:left="1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圆桌论坛</w:t>
            </w:r>
          </w:p>
        </w:tc>
      </w:tr>
    </w:tbl>
    <w:p>
      <w:pPr>
        <w:spacing w:before="121" w:line="301" w:lineRule="auto"/>
        <w:ind w:right="365" w:firstLine="596" w:firstLineChars="200"/>
        <w:jc w:val="both"/>
        <w:rPr>
          <w:rFonts w:hint="eastAsia" w:ascii="仿宋" w:hAnsi="仿宋" w:eastAsia="仿宋" w:cs="仿宋"/>
          <w:spacing w:val="-11"/>
          <w:sz w:val="32"/>
          <w:szCs w:val="32"/>
        </w:rPr>
        <w:sectPr>
          <w:pgSz w:w="11900" w:h="16840"/>
          <w:pgMar w:top="499" w:right="1785" w:bottom="0" w:left="1524" w:header="0" w:footer="0" w:gutter="0"/>
          <w:cols w:space="720" w:num="1"/>
        </w:sect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主题演讲会根据演讲嘉宾邀请稍有修改。</w:t>
      </w:r>
    </w:p>
    <w:p>
      <w:pPr>
        <w:rPr>
          <w:rFonts w:ascii="Arial"/>
          <w:sz w:val="21"/>
        </w:rPr>
      </w:pPr>
    </w:p>
    <w:sectPr>
      <w:pgSz w:w="11900" w:h="16840"/>
      <w:pgMar w:top="46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yZDFhM2NlZDZjZDcxYTFiMzFmYjU1MzZlZjYzMmIifQ=="/>
  </w:docVars>
  <w:rsids>
    <w:rsidRoot w:val="00000000"/>
    <w:rsid w:val="00E52D49"/>
    <w:rsid w:val="756923E6"/>
    <w:rsid w:val="7B246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681</Words>
  <Characters>920</Characters>
  <TotalTime>10</TotalTime>
  <ScaleCrop>false</ScaleCrop>
  <LinksUpToDate>false</LinksUpToDate>
  <CharactersWithSpaces>965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2023-05-06T10:42:00Z</dcterms:created>
  <dc:creator>Kingsoft-PDF</dc:creator>
  <cp:lastModifiedBy>飞翔、Tatsuya</cp:lastModifiedBy>
  <dcterms:modified xsi:type="dcterms:W3CDTF">2023-05-09T01:05:50Z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2023-05-06T10:42:04Z</vt:filetime>
  </property>
  <property fmtid="{D5CDD505-2E9C-101B-9397-08002B2CF9AE}" pid="4" name="UsrData">
    <vt:lpwstr>6455be650d38b70015330110</vt:lpwstr>
  </property>
  <property fmtid="{D5CDD505-2E9C-101B-9397-08002B2CF9AE}" pid="5" name="KSOProductBuildVer">
    <vt:lpwstr>2052-11.1.0.14036</vt:lpwstr>
  </property>
  <property fmtid="{D5CDD505-2E9C-101B-9397-08002B2CF9AE}" pid="6" name="ICV">
    <vt:lpwstr>FD7CAEB98136403D8A69BD315F8046AF_13</vt:lpwstr>
  </property>
</Properties>
</file>